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Metabolomics Characterizes the Effects and Mechanisms of Quercetin in the Nonalcoholic Fatty Liver Disease Development</w:t>
      </w: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Yan Xu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1, 2, 3,</w:t>
      </w:r>
      <w:r>
        <w:rPr>
          <w:rFonts w:ascii="Arial" w:hAnsi="Arial" w:cs="Arial"/>
          <w:bCs/>
          <w:szCs w:val="21"/>
          <w:shd w:val="clear" w:color="auto" w:fill="FFFFFF"/>
          <w:vertAlign w:val="superscript"/>
        </w:rPr>
        <w:t xml:space="preserve"> #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, Jichun Han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1, 2, 3,</w:t>
      </w:r>
      <w:r>
        <w:rPr>
          <w:rFonts w:ascii="Arial" w:hAnsi="Arial" w:cs="Arial"/>
          <w:bCs/>
          <w:szCs w:val="21"/>
          <w:shd w:val="clear" w:color="auto" w:fill="FFFFFF"/>
          <w:vertAlign w:val="superscript"/>
        </w:rPr>
        <w:t xml:space="preserve"> #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, Jinjin Dong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1, 2, 3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, Xiangcheng Fan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1, 2, 3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, Yuanyuan Cai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1, 2, 3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, Jing Li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, Tao Wang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5, 6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, Jia Zhou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1, 2, 3, *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, Jing Shang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1, 2, 3, *</w:t>
      </w:r>
      <w:bookmarkStart w:id="0" w:name="_GoBack"/>
      <w:bookmarkEnd w:id="0"/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School of Traditional Chinese Pharmacy, China Pharmaceutical University, Nanjing 211198, China</w:t>
      </w: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State Key Laboratory of Natural Medicines, China Pharmaceutical University, Nanjing 210009, China</w:t>
      </w: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Jiangsu Key Laboratory of TCM Evaluation and Translational Research, China Pharmaceutical University, Nanjing 211198, China</w:t>
      </w: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School of Life Science and Technology, China Pharmaceutical University, Nanjing 210009, China.</w:t>
      </w: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 xml:space="preserve">5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Jiangsu Key Laboratory of Drug Screening, China Pharmaceutical University, Nanjing 211198, China</w:t>
      </w: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Jiangsu Center for Pharmacodynamics Research and Evaluation, China Pharmaceutical University, Nanjing 210009, China</w:t>
      </w: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vertAlign w:val="superscript"/>
          <w:lang w:val="en-US" w:eastAsia="zh-CN"/>
        </w:rPr>
        <w:t>#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These authors contributed equally to this work.</w:t>
      </w: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*Correspondence should be addressed to Jing Shang (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instrText xml:space="preserve"> HYPERLINK "mailto:shangjing21cn@cpu.edu.cn" </w:instrTex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fldChar w:fldCharType="separate"/>
      </w:r>
      <w:r>
        <w:rPr>
          <w:rStyle w:val="4"/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shangjing21cn@cpu.edu.cn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) and Jia Zhou (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instrText xml:space="preserve"> HYPERLINK "mailto:cpuzj_2016@163.com" </w:instrTex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fldChar w:fldCharType="separate"/>
      </w:r>
      <w:r>
        <w:rPr>
          <w:rStyle w:val="4"/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cpuzj_2016@163.com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).</w:t>
      </w: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Table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Potential differential metabolites detected by HPLC-QTOF-MS among control, model and quercetin groups in 30 days.</w:t>
      </w:r>
    </w:p>
    <w:tbl>
      <w:tblPr>
        <w:tblStyle w:val="5"/>
        <w:tblW w:w="9438" w:type="dxa"/>
        <w:jc w:val="center"/>
        <w:tblCellSpacing w:w="0" w:type="dxa"/>
        <w:tblInd w:w="-639" w:type="dxa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68"/>
        <w:gridCol w:w="1011"/>
        <w:gridCol w:w="1011"/>
        <w:gridCol w:w="957"/>
        <w:gridCol w:w="982"/>
        <w:gridCol w:w="920"/>
        <w:gridCol w:w="989"/>
      </w:tblGrid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tblCellSpacing w:w="0" w:type="dxa"/>
          <w:jc w:val="center"/>
        </w:trPr>
        <w:tc>
          <w:tcPr>
            <w:tcW w:w="3568" w:type="dxa"/>
            <w:vMerge w:val="restart"/>
            <w:tcBorders>
              <w:top w:val="single" w:color="000000" w:sz="6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Different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metabolites</w:t>
            </w:r>
          </w:p>
        </w:tc>
        <w:tc>
          <w:tcPr>
            <w:tcW w:w="1011" w:type="dxa"/>
            <w:vMerge w:val="restart"/>
            <w:tcBorders>
              <w:top w:val="single" w:color="000000" w:sz="6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RT</w:t>
            </w:r>
          </w:p>
        </w:tc>
        <w:tc>
          <w:tcPr>
            <w:tcW w:w="1011" w:type="dxa"/>
            <w:vMerge w:val="restart"/>
            <w:tcBorders>
              <w:top w:val="single" w:color="000000" w:sz="6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Mass</w:t>
            </w:r>
          </w:p>
        </w:tc>
        <w:tc>
          <w:tcPr>
            <w:tcW w:w="1939" w:type="dxa"/>
            <w:gridSpan w:val="2"/>
            <w:tcBorders>
              <w:top w:val="single" w:color="000000" w:sz="6" w:space="0"/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C30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vs.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M30</w:t>
            </w:r>
          </w:p>
        </w:tc>
        <w:tc>
          <w:tcPr>
            <w:tcW w:w="1909" w:type="dxa"/>
            <w:gridSpan w:val="2"/>
            <w:tcBorders>
              <w:top w:val="single" w:color="000000" w:sz="6" w:space="0"/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M30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vs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Q30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vMerge w:val="continue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011" w:type="dxa"/>
            <w:vMerge w:val="continue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011" w:type="dxa"/>
            <w:vMerge w:val="continue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VIP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value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VIP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</w:rPr>
              <w:t>value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Adrenic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18.800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331.264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1.564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1.723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0.004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Docosahexaenoic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16.777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327.233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1.683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1.890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0.002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Linoleic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17.295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279.233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1.369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0.004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&gt;0.05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Eicosapentaenoic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15.768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301.217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1.506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1.597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0.015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Oleic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18.924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281.249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1.506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1.753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0.004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Palmitic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18.463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255.233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1.732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1.908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0.002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p-Cresol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sulfate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7.159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187.007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1.435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Indoxyl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sulfate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6.490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212.002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1.529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2-Hydroxybutyric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1.579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103.040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1.647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1.807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0.002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Arachidonic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17.077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303.233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1.576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1.844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0.002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12(S)-HPETE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10.713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335.223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1.686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1.0012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0.015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Chenodeoxycholic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glycine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conjugate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10.061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448.307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1.703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1.471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0.026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Taurocholic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8.117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514.284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1.667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Glycocholic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9.064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464.301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1.695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Citric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1.109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191.020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1.684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1.860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0.004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Succinic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1.495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117.019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1.470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0.004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15(S)-Hydroxyeicosatrienoic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13.574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321.243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1.715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1.941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0.002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tblCellSpacing w:w="0" w:type="dxa"/>
          <w:jc w:val="center"/>
        </w:trPr>
        <w:tc>
          <w:tcPr>
            <w:tcW w:w="356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Alpha-dimorphecolic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12.460</w:t>
            </w: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295.228</w:t>
            </w:r>
          </w:p>
        </w:tc>
        <w:tc>
          <w:tcPr>
            <w:tcW w:w="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1.735</w:t>
            </w:r>
          </w:p>
        </w:tc>
        <w:tc>
          <w:tcPr>
            <w:tcW w:w="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1.940</w:t>
            </w:r>
          </w:p>
        </w:tc>
        <w:tc>
          <w:tcPr>
            <w:tcW w:w="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0.004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tblCellSpacing w:w="0" w:type="dxa"/>
          <w:jc w:val="center"/>
        </w:trPr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9,10,13-TriHOME</w:t>
            </w:r>
          </w:p>
        </w:tc>
        <w:tc>
          <w:tcPr>
            <w:tcW w:w="1011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8.968</w:t>
            </w:r>
          </w:p>
        </w:tc>
        <w:tc>
          <w:tcPr>
            <w:tcW w:w="1011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329.233</w:t>
            </w:r>
          </w:p>
        </w:tc>
        <w:tc>
          <w:tcPr>
            <w:tcW w:w="957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1.746</w:t>
            </w:r>
          </w:p>
        </w:tc>
        <w:tc>
          <w:tcPr>
            <w:tcW w:w="982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920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2.014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0.002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Statistical significance levels were determined by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Mann-Whitney U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test. Only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metabolites with 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-values&lt;0.05 and VIP&gt;1 were deemed to be statistically </w:t>
      </w:r>
      <w:r>
        <w:rPr>
          <w:rFonts w:hint="default" w:ascii="Times New Roman" w:hAnsi="Times New Roman" w:eastAsia="宋体" w:cs="Times New Roman"/>
          <w:sz w:val="24"/>
          <w:szCs w:val="24"/>
        </w:rPr>
        <w:t>significant.</w:t>
      </w:r>
    </w:p>
    <w:p>
      <w:pPr>
        <w:spacing w:line="360" w:lineRule="auto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Table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Potential differential metabolites detected by HPLC-QTOF-MS among control, model and quercetin groups in 50 days.</w:t>
      </w:r>
    </w:p>
    <w:tbl>
      <w:tblPr>
        <w:tblStyle w:val="5"/>
        <w:tblW w:w="8920" w:type="dxa"/>
        <w:jc w:val="center"/>
        <w:tblCellSpacing w:w="0" w:type="dxa"/>
        <w:tblInd w:w="-514" w:type="dxa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45"/>
        <w:gridCol w:w="904"/>
        <w:gridCol w:w="1004"/>
        <w:gridCol w:w="784"/>
        <w:gridCol w:w="986"/>
        <w:gridCol w:w="818"/>
        <w:gridCol w:w="1079"/>
      </w:tblGrid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tblCellSpacing w:w="0" w:type="dxa"/>
          <w:jc w:val="center"/>
        </w:trPr>
        <w:tc>
          <w:tcPr>
            <w:tcW w:w="3345" w:type="dxa"/>
            <w:vMerge w:val="restart"/>
            <w:tcBorders>
              <w:top w:val="single" w:color="000000" w:sz="6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Different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metabolites</w:t>
            </w:r>
          </w:p>
        </w:tc>
        <w:tc>
          <w:tcPr>
            <w:tcW w:w="904" w:type="dxa"/>
            <w:vMerge w:val="restart"/>
            <w:tcBorders>
              <w:top w:val="single" w:color="000000" w:sz="6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RT</w:t>
            </w:r>
          </w:p>
        </w:tc>
        <w:tc>
          <w:tcPr>
            <w:tcW w:w="1004" w:type="dxa"/>
            <w:vMerge w:val="restart"/>
            <w:tcBorders>
              <w:top w:val="single" w:color="000000" w:sz="6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Mass</w:t>
            </w:r>
          </w:p>
        </w:tc>
        <w:tc>
          <w:tcPr>
            <w:tcW w:w="1770" w:type="dxa"/>
            <w:gridSpan w:val="2"/>
            <w:tcBorders>
              <w:top w:val="single" w:color="000000" w:sz="6" w:space="0"/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C50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vs.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M50</w:t>
            </w:r>
          </w:p>
        </w:tc>
        <w:tc>
          <w:tcPr>
            <w:tcW w:w="1897" w:type="dxa"/>
            <w:gridSpan w:val="2"/>
            <w:tcBorders>
              <w:top w:val="single" w:color="000000" w:sz="6" w:space="0"/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M50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vs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Q50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tblCellSpacing w:w="0" w:type="dxa"/>
          <w:jc w:val="center"/>
        </w:trPr>
        <w:tc>
          <w:tcPr>
            <w:tcW w:w="3345" w:type="dxa"/>
            <w:vMerge w:val="continue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</w:p>
        </w:tc>
        <w:tc>
          <w:tcPr>
            <w:tcW w:w="904" w:type="dxa"/>
            <w:vMerge w:val="continue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</w:p>
        </w:tc>
        <w:tc>
          <w:tcPr>
            <w:tcW w:w="1004" w:type="dxa"/>
            <w:vMerge w:val="continue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VIP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value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VIP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value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Docosahexaenoic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16.777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327.233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1.507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0.004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Palmitic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18.463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255.233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1.661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1.998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0.041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p-Cresol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sulfate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7.159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187.007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1.726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Indoxyl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sulfate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6.490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212.002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1.704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2-Hydroxybutyric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1.579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103.040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1.478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0.004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1.925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0.041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Arachidonic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17.077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303.233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1.265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0.009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12(S)-HPETE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10.713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335.223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1.855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3.015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0.002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12-HETE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13.108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319.228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1.202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0.026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Taurocholic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8.117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514.284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1.766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0.015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Glycocholic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9.064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464.301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1.791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0.026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Chenodeoxycholic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glycine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conjugate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9.082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448.307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1.785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0.026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Succinic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1.495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117.019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1.609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Citric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1.109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191.020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1.602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L-Tyrosine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1.478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180.067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1.128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0.026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15(S)-Hydroxyeicosatrienoic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13.574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321.243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1.843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tblCellSpacing w:w="0" w:type="dxa"/>
          <w:jc w:val="center"/>
        </w:trPr>
        <w:tc>
          <w:tcPr>
            <w:tcW w:w="3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Alpha-dimorphecolic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acid</w:t>
            </w:r>
          </w:p>
        </w:tc>
        <w:tc>
          <w:tcPr>
            <w:tcW w:w="9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12.460</w:t>
            </w:r>
          </w:p>
        </w:tc>
        <w:tc>
          <w:tcPr>
            <w:tcW w:w="10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295.228</w:t>
            </w:r>
          </w:p>
        </w:tc>
        <w:tc>
          <w:tcPr>
            <w:tcW w:w="7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1.800</w:t>
            </w:r>
          </w:p>
        </w:tc>
        <w:tc>
          <w:tcPr>
            <w:tcW w:w="9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tblCellSpacing w:w="0" w:type="dxa"/>
          <w:jc w:val="center"/>
        </w:trPr>
        <w:tc>
          <w:tcPr>
            <w:tcW w:w="3345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9,10,13-TriHOME</w:t>
            </w:r>
          </w:p>
        </w:tc>
        <w:tc>
          <w:tcPr>
            <w:tcW w:w="904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8.968</w:t>
            </w:r>
          </w:p>
        </w:tc>
        <w:tc>
          <w:tcPr>
            <w:tcW w:w="1004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329.233</w:t>
            </w:r>
          </w:p>
        </w:tc>
        <w:tc>
          <w:tcPr>
            <w:tcW w:w="784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1.811</w:t>
            </w:r>
          </w:p>
        </w:tc>
        <w:tc>
          <w:tcPr>
            <w:tcW w:w="986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0.002</w:t>
            </w:r>
          </w:p>
        </w:tc>
        <w:tc>
          <w:tcPr>
            <w:tcW w:w="818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lang w:eastAsia="zh-CN"/>
              </w:rPr>
              <w:t>&lt;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79" w:type="dxa"/>
            <w:tcBorders>
              <w:bottom w:val="single" w:color="auto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eastAsia="zh-CN"/>
              </w:rPr>
              <w:t>&gt;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0.05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Statistical significance levels were determined by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Mann-Whitney U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test. Only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metabolites with 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-values&lt;0.05 and VIP&gt;1 were deemed to be statistically </w:t>
      </w:r>
      <w:r>
        <w:rPr>
          <w:rFonts w:hint="default" w:ascii="Times New Roman" w:hAnsi="Times New Roman" w:eastAsia="宋体" w:cs="Times New Roman"/>
          <w:sz w:val="24"/>
          <w:szCs w:val="24"/>
        </w:rPr>
        <w:t>significant.</w:t>
      </w: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D1975"/>
    <w:rsid w:val="10763CCE"/>
    <w:rsid w:val="1A08293A"/>
    <w:rsid w:val="6D535020"/>
    <w:rsid w:val="728D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2018-10-17T11:20:00Z</dcterms:created>
  <dc:creator>岁月静好</dc:creator>
  <cp:lastModifiedBy>岁月静好</cp:lastModifiedBy>
  <dcterms:modified xsi:type="dcterms:W3CDTF">2018-12-16T09:48:42Z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